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4"/>
        <w:ind w:right="-284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 2</w:t>
      </w:r>
      <w:r>
        <w:rPr>
          <w:sz w:val="28"/>
          <w:szCs w:val="28"/>
        </w:rPr>
      </w:r>
    </w:p>
    <w:p>
      <w:pPr>
        <w:pStyle w:val="884"/>
        <w:ind w:right="-284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к дополнительному соглашению от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7.05.2026 №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</w:r>
    </w:p>
    <w:p>
      <w:pPr>
        <w:pStyle w:val="884"/>
        <w:ind w:right="-284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 к тарифному соглашению о реализации Территориальной</w:t>
      </w:r>
      <w:r>
        <w:rPr>
          <w:sz w:val="28"/>
          <w:szCs w:val="28"/>
        </w:rPr>
      </w:r>
    </w:p>
    <w:p>
      <w:pPr>
        <w:pStyle w:val="884"/>
        <w:ind w:right="-284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программы обязательного медицинского страхования</w:t>
      </w:r>
      <w:r>
        <w:rPr>
          <w:sz w:val="28"/>
          <w:szCs w:val="28"/>
        </w:rPr>
      </w:r>
    </w:p>
    <w:p>
      <w:pPr>
        <w:pStyle w:val="884"/>
        <w:ind w:right="-284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Ставропольского края на 2026 год от 26.03.2026</w:t>
      </w:r>
      <w:r>
        <w:rPr>
          <w:sz w:val="28"/>
          <w:szCs w:val="28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Приложение 7 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к тарифному соглашению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в сфере обязательного медицинского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страхования на территории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Ставропольского края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right"/>
        <w:spacing w:after="0" w:line="240" w:lineRule="exact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от 26 марта 2026 года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widowControl w:val="off"/>
        <w:rPr>
          <w:rFonts w:ascii="Times New Roman" w:hAnsi="Times New Roman" w:eastAsia="Arial" w:cs="Times New Roman"/>
          <w:sz w:val="24"/>
          <w:lang w:eastAsia="ru-RU"/>
        </w:rPr>
      </w:pPr>
      <w:r>
        <w:rPr>
          <w:rFonts w:ascii="Times New Roman" w:hAnsi="Times New Roman" w:eastAsia="Arial" w:cs="Times New Roman"/>
          <w:sz w:val="24"/>
          <w:lang w:eastAsia="ru-RU"/>
        </w:rPr>
      </w:r>
      <w:r>
        <w:rPr>
          <w:rFonts w:ascii="Times New Roman" w:hAnsi="Times New Roman" w:eastAsia="Arial" w:cs="Times New Roman"/>
          <w:sz w:val="24"/>
          <w:lang w:eastAsia="ru-RU"/>
        </w:rPr>
      </w:r>
    </w:p>
    <w:p>
      <w:pPr>
        <w:ind w:right="-284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8"/>
          <w:szCs w:val="28"/>
        </w:rPr>
      </w:pPr>
      <w:r/>
      <w:bookmarkStart w:id="0" w:name="P9553"/>
      <w:r/>
      <w:bookmarkEnd w:id="0"/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ТАРИФЫ НА ОПЛАТУ МЕДИЦИНСКИХ УСЛУГ ПРИ</w:t>
      </w:r>
      <w:r>
        <w:rPr>
          <w:rFonts w:ascii="Times New Roman" w:hAnsi="Times New Roman" w:eastAsia="Arial" w:cs="Times New Roman"/>
          <w:b/>
          <w:sz w:val="28"/>
          <w:szCs w:val="28"/>
        </w:rPr>
      </w:r>
    </w:p>
    <w:p>
      <w:pPr>
        <w:ind w:right="-284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4"/>
          <w:lang w:eastAsia="ru-RU"/>
        </w:rPr>
      </w:pP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ПРОВЕДЕНИИ ДИСПАНСЕРИЗАЦИИ ОПРЕДЕЛЕННЫХ ГРУПП НАСЕЛЕНИЯ</w:t>
      </w:r>
      <w:r>
        <w:rPr>
          <w:rFonts w:ascii="Times New Roman" w:hAnsi="Times New Roman" w:eastAsia="Arial" w:cs="Times New Roman"/>
          <w:b/>
          <w:sz w:val="24"/>
          <w:lang w:eastAsia="ru-RU"/>
        </w:rPr>
      </w:r>
    </w:p>
    <w:p>
      <w:pPr>
        <w:ind w:right="-284"/>
        <w:jc w:val="both"/>
        <w:spacing w:after="0" w:line="240" w:lineRule="auto"/>
        <w:widowControl w:val="off"/>
        <w:rPr>
          <w:rFonts w:ascii="Times New Roman" w:hAnsi="Times New Roman" w:eastAsia="Arial" w:cs="Times New Roman"/>
          <w:sz w:val="24"/>
          <w:lang w:eastAsia="ru-RU"/>
        </w:rPr>
      </w:pPr>
      <w:r>
        <w:rPr>
          <w:rFonts w:ascii="Times New Roman" w:hAnsi="Times New Roman" w:eastAsia="Arial" w:cs="Times New Roman"/>
          <w:sz w:val="24"/>
          <w:lang w:eastAsia="ru-RU"/>
        </w:rPr>
      </w:r>
      <w:r>
        <w:rPr>
          <w:rFonts w:ascii="Times New Roman" w:hAnsi="Times New Roman" w:eastAsia="Arial" w:cs="Times New Roman"/>
          <w:sz w:val="24"/>
          <w:lang w:eastAsia="ru-RU"/>
        </w:rPr>
      </w:r>
    </w:p>
    <w:p>
      <w:pPr>
        <w:ind w:left="7080" w:right="-141" w:firstLine="708"/>
        <w:jc w:val="center"/>
        <w:spacing w:after="0" w:line="240" w:lineRule="auto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         Таблица 1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both"/>
        <w:spacing w:after="0" w:line="240" w:lineRule="auto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p>
      <w:pPr>
        <w:ind w:right="-141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Комплексные посещения</w:t>
      </w: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</w:r>
    </w:p>
    <w:p>
      <w:pPr>
        <w:ind w:right="-141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в связи с проведением первого этапа диспансеризации</w:t>
      </w: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</w:r>
    </w:p>
    <w:p>
      <w:pPr>
        <w:ind w:right="-141"/>
        <w:jc w:val="center"/>
        <w:spacing w:after="0" w:line="240" w:lineRule="exact"/>
        <w:widowControl w:val="off"/>
        <w:rPr>
          <w:rFonts w:ascii="Times New Roman" w:hAnsi="Times New Roman" w:eastAsia="Arial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eastAsia="Arial" w:cs="Times New Roman"/>
          <w:b/>
          <w:sz w:val="28"/>
          <w:szCs w:val="28"/>
          <w:lang w:eastAsia="ru-RU"/>
        </w:rPr>
        <w:t xml:space="preserve">определенных групп взрослого населения</w:t>
      </w:r>
      <w:r>
        <w:rPr>
          <w:rFonts w:ascii="Times New Roman" w:hAnsi="Times New Roman" w:eastAsia="Arial" w:cs="Times New Roman"/>
          <w:b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hAnsi="Times New Roman" w:eastAsia="Arial" w:cs="Times New Roman"/>
          <w:b/>
          <w:sz w:val="20"/>
          <w:szCs w:val="20"/>
          <w:vertAlign w:val="superscript"/>
          <w:lang w:eastAsia="ru-RU"/>
        </w:rPr>
        <w:t xml:space="preserve">1</w:t>
      </w:r>
      <w:r>
        <w:rPr>
          <w:rFonts w:ascii="Times New Roman" w:hAnsi="Times New Roman" w:eastAsia="Arial" w:cs="Times New Roman"/>
          <w:b/>
          <w:sz w:val="24"/>
          <w:szCs w:val="24"/>
          <w:vertAlign w:val="superscript"/>
        </w:rPr>
      </w:r>
    </w:p>
    <w:p>
      <w:pPr>
        <w:ind w:left="7080" w:right="-141" w:firstLine="708"/>
        <w:jc w:val="center"/>
        <w:spacing w:after="0" w:line="240" w:lineRule="auto"/>
        <w:widowControl w:val="off"/>
        <w:rPr>
          <w:rFonts w:ascii="Times New Roman" w:hAnsi="Times New Roman" w:eastAsia="Arial" w:cs="Times New Roman"/>
          <w:sz w:val="28"/>
          <w:szCs w:val="28"/>
          <w:lang w:eastAsia="ru-RU"/>
        </w:rPr>
      </w:pPr>
      <w:r>
        <w:rPr>
          <w:rFonts w:ascii="Times New Roman" w:hAnsi="Times New Roman" w:eastAsia="Arial" w:cs="Times New Roman"/>
          <w:sz w:val="28"/>
          <w:szCs w:val="28"/>
          <w:lang w:eastAsia="ru-RU"/>
        </w:rPr>
        <w:t xml:space="preserve">           (рублей)</w:t>
      </w:r>
      <w:r>
        <w:rPr>
          <w:rFonts w:ascii="Times New Roman" w:hAnsi="Times New Roman" w:eastAsia="Arial" w:cs="Times New Roman"/>
          <w:sz w:val="28"/>
          <w:szCs w:val="28"/>
          <w:lang w:eastAsia="ru-RU"/>
        </w:rPr>
      </w:r>
    </w:p>
    <w:tbl>
      <w:tblPr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88"/>
        <w:gridCol w:w="850"/>
        <w:gridCol w:w="4961"/>
        <w:gridCol w:w="2835"/>
      </w:tblGrid>
      <w:tr>
        <w:tblPrEx/>
        <w:trPr>
          <w:tblHeader/>
        </w:trPr>
        <w:tc>
          <w:tcPr>
            <w:tcW w:w="9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Arial" w:cs="Times New Roman"/>
                <w:sz w:val="28"/>
                <w:szCs w:val="28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Вид посещения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9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в следующие возрастные периоды (мужчины):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53, 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52, 56, 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B11.047.004.001.634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в следующие возрастные периоды (женщины):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50, 52, 56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B11.047.004.001.735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мобильной медицинской бригадой в следующие возрастные периоды (мужчины):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53, 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52, 56, 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B11.047.004.001.834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мобильной медицинской бригадой в следующие возрастные периоды (женщины):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50, 52, 56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B11.047.004.001.936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в выходные и праздничные дни в следующие возрастные периоды (мужчины):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53, 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52, 56, 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B11.047.004.002.634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в выходные и праздничные дни в следующие возрастные периоды (женщины):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50, 52, 56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B11.047.004.002.736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мобильной медицинской бригадой в выходные и праздничные дни в следующие возрастные периоды (мужчины):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53, 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52, 56, 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B11.047.004.002.834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определенных групп взрослого населения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мобильной медицинской бригадой в выходные и праздничные дни в следующие возрастные периоды (женщины):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18, 24, 30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21, 27, 33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41, 43, 47, 49, 53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51, 57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40, 44, 46, 50, 52, 56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42, 48, 54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B11.047.004.002.928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66, 70, 72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 69, 73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68, 74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76, 78, 82, 84, 88, 90, 94, 96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77, 83, 89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80, 86, 92, 98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79, 81, 87, 91, 93, 97, 99 и старше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988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1"/>
              </w:numPr>
              <w:ind w:left="75" w:firstLine="0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8.29.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85 (лет)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B11.047.004.002.936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0" w:right="-284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Таблица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(медицинских вмешательств), входящих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комплексное посещение по проведению первого этапа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диспансеризации взрослого населения, оплата которых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производится за фактические оказанные медицинские услуги </w:t>
      </w:r>
      <w:r>
        <w:rPr>
          <w:rFonts w:ascii="Times New Roman" w:hAnsi="Times New Roman" w:eastAsia="Times New Roman" w:cs="Times New Roman"/>
          <w:b/>
          <w:sz w:val="20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9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665"/>
        <w:gridCol w:w="4843"/>
        <w:gridCol w:w="1474"/>
      </w:tblGrid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A01.30.026.099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Опрос (анкетирование)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108,45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A02.07.004.099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Расчет на основании антропометрии (измерение роста, массы тела, окружности талии) индекса массы тела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91,74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A02.12.002.001.099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Измерение артериального давления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91,74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A09.05.026.099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уровня общего холестерина в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  <w:t xml:space="preserve">133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A09.05.023.099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уровня глюкозы в крови натощак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145,15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A06.09.006.099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Флюорография легких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172,68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A12.10.001.099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Электрокардиография в покое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473,05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A02.26.015.099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Измерение внутриглазного давления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145,02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Общий анализ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558,44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A02.12.002.099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Измерение артериального давления на периферических артериях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91,74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A01.30.030.020.099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относительного сердечно-сосудистого риска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36,25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A01.30.030.021.099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абсолютного сердечно-сосудистого риска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36,25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A09.19.001.099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Исследование кала на скрытую кровь иммунохимическим качественным или количественным методом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306,45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A09.05.130.099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простатспецифического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антигена (ПСА) в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421,96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A03.16.001.099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Эзофагогастродуоденоскопия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1158,91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A26.06.041.002.099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скринингового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исследования на антитела к гепатиту C путем определения суммарных антител классов M и G к вирусу гепатита C в крови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564,32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B04.070.002.099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Краткое индивидуальное профилактическое консультирование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95,89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B04.001.002.099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фельдшером (акушеркой) или врачом акушером-гинекологом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481,75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A06.20.004.099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Маммография обеих молочных желез в двух проекциях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507,53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A08.20.017.099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Взятие с использованием щетки цитологической цервикальной мазка (соскоба) с поверхности шейки матки и цервикального канала на цитологическое исследование, цитологическое исследование мазка с шейки матки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870,90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B04.047.002.099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4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Прием (осмотр) по результатам профилактического медицинского осмотра и первого этапа диспансеризации, в том числе осмотр на выявление визуальных и иных локализаций онкологических заболеваний в рамках проведения профилактических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601,82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Таблица 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в связи с проведением второго этапа диспансеризации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Arial" w:hAnsi="Arial" w:eastAsia="Times New Roman" w:cs="Arial"/>
          <w:b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определенных групп взрослого населения</w:t>
      </w:r>
      <w:r>
        <w:rPr>
          <w:rFonts w:ascii="Arial" w:hAnsi="Arial" w:eastAsia="Times New Roman" w:cs="Arial"/>
          <w:b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95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4815"/>
        <w:gridCol w:w="2551"/>
        <w:gridCol w:w="1644"/>
      </w:tblGrid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врача-невролога (при наличии впервые выявленных указаний или подозрений на ранее перенесенное острое нарушение мозгового кровообращения для граждан, не находящихся по этому поводу под диспа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нсерным наблюдением, а также в случаях выявления по результатам анкетирования нарушений двигательной функции, когнитивных нарушений и подозрений на депрессию у граждан в возрасте 65 лет и старше, не находящихся по этому поводу под диспансерным наблюдением)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713,96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врача-хирурга, включая 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ректороманоскопии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(для граждан в возрасте от 40 до 75 лет включительно с выявленными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патологическими изменениями по результатам скрининга на выявление злокачественных новообразований толстого кишечника и прямой кишки, при отягощенной наследственности по семейному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аденоматозу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и (или) злокачественным новообразованиям толстого кишечника и прямой к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ишки, при выявлении других медицинских показаний по результатам анкетирования, а также по назначению врача-терапевта, врача-уролога, врача - акушера-гинеколога в случаях выявления симптомов злокачественных новообразований толстого кишечника и прямой кишки)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2306,74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колопроктолога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 включая 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ректороманоскопии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(при положительном анализе кала на скры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тую кровь, для граждан в возрасте от 40 до 75 лет включительно с выявленными патологическими изменениями по результатам скрининга на выявление злокачественных новообразований толстого кишечника и прямой кишки, при отягощенной наследственности по семейному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аденоматозу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и (или) злокачественным новообразованиям толстого кишечника и прямой к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ишки, при выявлении других медицинских показаний по результатам анкетирования, а также по назначению врача-терапевта, врача-уролога, врача - акушера-гинеколога в случаях выявления симптомов злокачественных новообразований толстого кишечника и прямой кишки)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2306,74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ия) врача-офтальмолога (для граждан в возрасте 40 лет и старше, имеющих повышенное внутриглазное давление, и для граждан в возрасте 65 лет и старше, имеющих снижение остроты зрения, не поддающееся очковой коррекции, выявленное по результатам анкетирования)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428,32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врача-хирурга (для мужчин в возрасте 45, 50, 55, 60 и 64 лет при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повышении уровня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простатспецифического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антигена в крови более 4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нг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/мл)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641,15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врача-уролога (для мужчин в возрасте 45, 50, 55, 60 и 64 лет при повышении уровня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простатспецифического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антигена в крови более 4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нг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/мл)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518,80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 акушера-гинеколога (для женщин в возрасте 18 лет и старше с выявленными патологическими изменениями по результатам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скрининга на выявление злокачественных новообразований шейки матки, в возрасте от 40 до 75 лет с выявленными патологическими изменениями по результатам мероприятий скрининга, направленного на раннее выявление злокачественных новообразований молочных желез)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B11.047.004.203.007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840,11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врача-терапевта, по завершении исследований второго этапа диспансеризации, включающий установление (уточнение) диагноза, определение (уточнение) группы здоровья, определение группы диспансерного наблюдения (с учетом заключений врачей-специал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истов), а также направление граждан при наличии медицинских показаний на дополнительное обследование, не входящее в объем диспансеризации, для получения специализированной, в том числе высокотехнологичной, медицинской помощи, на санаторно-курортное лечение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B11.047.004.202.008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601,82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 общей практики (семейного врача), по завершении исследований второго этапа диспансеризации, включающий установление (уточнение) диагноза, определение (уточ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нение) группы здоровья, определение группы диспансерного наблюдения (с учетом заключений врачей-специалистов), а также направление граждан при наличии медицинских показаний на дополнительное обследование, не входящее в объем диспансеризации, для получения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специализированной, в том числе высокотехнологичной, медицинской помощи, на санаторно-курортное лечение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B11.047.004.202.009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601,82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Проведение индивидуального профилактического консультирования в отделении (кабинете) медицинской профилактики (центре здоровья, фельдшерском здравпункте или фельдшерско-акушерском пункте) для граждан с выявленными факторами риска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B11.047.004.202.010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811,44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ведение группового (школы для пациентов) углубленного профилактического консультирования в отделении (кабинете) медицинской профилактики (центре здоровья, фельдшерском здравпункте или фельдшерско-акушерском пункте) для граждан с выявленными факторами риска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210,90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Рентгенография легких (для граждан в случае подозрения на злокачественные новообразования легкого по назначению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764,82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Компьютерная томография легких (для граждан в случае подозрения на злокачественные новообразования легкого по назначению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1169,76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Дуплексное сканирование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брахиоцефальных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артерий (для мужчин в возрасте от 45 до 72 лет и женщин в возрасте от 54 до 72 лет при наличии комбинации трех факторов риска развития хронических неинфекционных заболеваний: повышенный уровень артериального давления,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гиперхолестеринемия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 избыточная масса тела или ож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ирение, а также по направлению врачом-неврологом при впервые выявленном указании или подозрении на ранее перенесенное острое нарушение мозгового кровообращения для граждан в возрасте 65 - 90 лет, не находящихся по этому поводу под диспансерным наблюдением)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B11.047.004.003.014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1335,78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Эзофагогастродуоденоскопия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(для граждан в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случае подозрения на злокачественные новообразования пищевода, желудка и двенадцатиперстной кишки по назначению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1158,91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Колоноскопия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(для граждан в случае подозрения на онкологическое заболевание толстой кишки по назначению врача-хирурга или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колопроктолога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1231,84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Спирометрия (для граждан с подозрением на хроническое бронхолегочное заболевание по результатам анкетирования, курящих и по направлению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B11.047.004.001.018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403,26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врача-оториноларинголога (для граждан в возрасте 65 лет и старше при наличии медицинских показаний по результатам анкетирования или осмотра врача-терапевта)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B11.047.004.202.019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499,66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уровня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гликированного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гемоглобина в крови (для граждан с подозрением на сахарный диабет по назначению врача-терапевта по результатам осмотров и исследований первого этапа диспансеризации)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B11.047.004.002.017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481,00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81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(консультация)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дерматовенеролога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, включая 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дерматоскопии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(для граждан с подозрением на злокачественные новообразования кожи и (или) слизи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стых оболочек по назначению врача-терапевта по результатам осмотра на выявление визуальных и иных локализаций онкологических заболеваний, включающего осмотр кожных покровов, слизистых губ и ротовой полости, пальпацию щитовидной железы, лимфатических узлов)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B11.047.004.202.018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516,97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Таблица 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Комплексные посещения в связи с проведением первого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этапа диспансеризации отдельных категорий детского населения</w:t>
      </w:r>
      <w:r>
        <w:rPr>
          <w:rFonts w:ascii="Times New Roman" w:hAnsi="Times New Roman" w:eastAsia="Times New Roman" w:cs="Times New Roman"/>
          <w:b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46"/>
        <w:gridCol w:w="5953"/>
        <w:gridCol w:w="2665"/>
      </w:tblGrid>
      <w:tr>
        <w:tblPrEx/>
        <w:trPr>
          <w:tblHeader/>
        </w:trPr>
        <w:tc>
          <w:tcPr>
            <w:tcW w:w="84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Вид посещения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84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диспансеризации пребывающих в стационарных учреждениях детей-сирот и детей, находящихся в трудной жизненной ситуации, в следующие возрастные периоды с дифференциацией по полу пациента: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период новорожденности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 месяц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 месяца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 месяца, 4 месяца, 5 месяцев, 6 месяцев, 7 месяцев, 8 месяцев, 9 месяцев, 10 месяцев, 11 месяцев, 1 год и 3 месяца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 год и 6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 лет, 7 лет, 8 лет, 9 лет, 11 лет, 12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B11.031.001.002.039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B11.031.001.002.049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B11.031.001.002.050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B11.031.001.002.051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B11.031.001.002.052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этапа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в следующие возрастные периоды с дифференциацией по полу пациента: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период новорожденности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 месяц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 месяца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 месяца, 4 месяца, 5 месяцев, 6 месяцев, 7 месяцев, 8 месяцев, 9 месяцев, 10 месяцев, 11 месяцев, 1 год и 3 месяца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 год и 6 месяцев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 лет, 7 лет, 8 лет, 9 лет, 11 лет, 12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B11.031.004.002.059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val="en-US"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B11.031.004.002.070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 лет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мальчики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B11.031.004.002.071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846" w:type="dxa"/>
            <w:vAlign w:val="center"/>
            <w:textDirection w:val="lrTb"/>
            <w:noWrap w:val="false"/>
          </w:tcPr>
          <w:p>
            <w:pPr>
              <w:pStyle w:val="724"/>
              <w:numPr>
                <w:ilvl w:val="0"/>
                <w:numId w:val="2"/>
              </w:numPr>
              <w:ind w:hanging="503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95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девочки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6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B11.031.004.002.072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Таблица 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/>
      <w:bookmarkStart w:id="1" w:name="P12672"/>
      <w:r/>
      <w:bookmarkEnd w:id="1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(медицинских вмешательств), входящих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комплексное посещение по проведению первого этапа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диспансеризации детского населения, оплата которых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производится за фактические оказанные медицинские услуги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4985"/>
        <w:gridCol w:w="1531"/>
      </w:tblGrid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B03.032.001.097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Забор крови для проведения исследований на врожденные и (или) наследственные заболевания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204,54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B03.028.001.097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Аудиологический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скрининг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314,43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Общий (клинический) анализ крови в рамках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558,44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B03.016.006.097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Общий (клинический) анализ мочи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185,56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A04.16.001.097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органов брюшной полости (комплексное)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683,99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A04.28.002.001.097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почек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349,94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A04.04.001.001.097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тазобедренного сустава с двух сторон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363,38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A04.10.002.097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Эхокардиография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762,78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A04.23.001.097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Нейросонография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455,56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rHeight w:val="42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A02.26.003.097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Офтальмоскопия в условиях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мидриаза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526,32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A12.10.001.097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Электрокардиография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473,05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A05.25.002.097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Исследование вызванной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отоакустической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эмиссии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493,29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A04.20.001.097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органов репродуктивной системы (в отношении девочек)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403,67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A04.28.003.097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органов репродуктивной системы (в отношении мальчиков)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403,67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A04.22.001.097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Ультразвуковое исследование щитовидной железы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282,78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A09.05.026.097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Исследование уровня холестерина в крови экспресс методом с использованием тест-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полосок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133,11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A12.26.002.097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Иммунодиагностика с применением аллергена туберкулезного рекомбинантного в стандартном разведении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289,41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B04.031.002.097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врача-педиатра/врача-педиатра участкового/врача общей практики (семейный врач)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907,58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B04.010.002.097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врача-детского хирурга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641,15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B04.029.002.097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врача-офтальмолога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428,32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B04.023.002.097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врача-невролога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713,96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B04.050.002.097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врача-травматолога-ортопеда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641,15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B04.064.002.097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 стоматолога детского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406,36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B04.028.002.097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врача-оториноларинголога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499,66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B04.058.003.097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врача-детского эндокринолога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1238,11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B04.001.002.097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консультация) врача-акушера-гинеколога (в отношении девочек)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840,11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38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B04.053.004.097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98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Профилактический прием (осмотр, консультация) врача-детского уролога-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андролога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(в отношении мальчиков) в рамках диспансеризации детей сирот и опекаемых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518,80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pStyle w:val="884"/>
        <w:jc w:val="both"/>
      </w:pPr>
      <w:r/>
      <w:r/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в связи с проведением второго этапа диспансеризации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отдельных категорий детского населения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95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5098"/>
        <w:gridCol w:w="2268"/>
        <w:gridCol w:w="1587"/>
      </w:tblGrid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врача-ревматолога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B11.040.001.202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685,26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врача-онколога детского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B11.009.001.202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641,15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врача-нефролога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B11.025.001.202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907,58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врача-кардиолога детского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B11.070.001.202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685,26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врача-инфекциониста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B11.014.001.202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903,50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дерматовенеролога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связи с проведением II этапа диспансеризации (дети)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B11.008.001.202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516,97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врача-гематолога в связи с проведением II этапа диспансеризации (дети)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B11.005.001.202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907,58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врача-гастроэнтеролога в связи с проведением II этапа диспансеризации (дети)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B11.004.001.202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907,58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врача-аллерголога-иммунолога в связи с проведением II этапа диспансеризации (дети)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B11.002.001.202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1140,17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врача-пульмонолога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B11.037.001.202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907,58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Осмотр врача общей практики (дети) в связи с проведением II этапа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B11.026.003.202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907,58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и медицинских вмешательств, включенных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углубленную диспансеризацию определенных групп взрослого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населения, оплата которых производится за фактические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оказанные медицинские услуги</w:t>
      </w:r>
      <w:r>
        <w:rPr>
          <w:rFonts w:ascii="Times New Roman" w:hAnsi="Times New Roman" w:eastAsia="Times New Roman" w:cs="Times New Roman"/>
          <w:b/>
          <w:sz w:val="28"/>
          <w:szCs w:val="28"/>
          <w:vertAlign w:val="superscript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788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2211"/>
        <w:gridCol w:w="4362"/>
        <w:gridCol w:w="1531"/>
      </w:tblGrid>
      <w:tr>
        <w:tblPrEx/>
        <w:trPr>
          <w:tblHeader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 медицинской услуги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/>
            <w:bookmarkStart w:id="2" w:name="_GoBack"/>
            <w:r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gridSpan w:val="2"/>
            <w:tcW w:w="657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Первый этап углубленной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B11.047.001.001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gridSpan w:val="2"/>
            <w:tcW w:w="589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Комплексное посещение в связи с проведением первого этапа углубленной диспансеризации взрослого населения всего, в том числе: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A12.09.005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Пульсоксиметрия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67,44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A12.09.001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Спирометрия или спирография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403,26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Общий (клинический) анализ крови развернутый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558,44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B03.016.004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Анализ крови биохимический общетерапевтический (включая исследования уровня холестерина, уровня липопротеинов низкой плотности, C-реактивного белка, определение активности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аланинаминотрансферазы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крови, определение активности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аспартатаминотрансферазы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крови, определение активности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лактатдегидрогеназы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крови, исследование уровня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креатинина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907,91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rHeight w:val="465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gridSpan w:val="3"/>
            <w:tcW w:w="810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Дополнительные исследования в рамках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первого этапа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углубленной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A23.30.023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Тест с 6-минутной ходьбой (при исходной сатурации кислорода крови 95 процентов и больше в сочетании с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наличием у гражданина жалоб на одышку, отеки, которые появились впервые или повысилась их интенсивность)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178,21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A09.05.051.001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Определение концентрации Д-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димера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 у граждан, перенесших среднюю степень тяжести и выше новой коронавирусной инфекции (COVID-19)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996,24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gridSpan w:val="2"/>
            <w:tcW w:w="657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Второй этап углубленной диспансеризации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A04.10.002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Эхокардиография (в случае показателя сатурации в покое 94 процента и ниже, а также по результатам проведения теста с 6-минутной ходьбой)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699,46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hyperlink w:tooltip="&lt;1&gt; Оплата медицинских услуг с применением искусственного интеллекта включена в тариф комплексного посещения в связи с проведением первого этапа диспансеризации определенных групп взрослого населения и второго этапа углубленной диспансеризации. В целях выявлен" w:anchor="P12934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vertAlign w:val="superscript"/>
                  <w:lang w:eastAsia="ru-RU"/>
                </w:rPr>
                <w:t xml:space="preserve">1</w:t>
              </w:r>
            </w:hyperlink>
            <w:r/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Компьютерная томография органов грудной полости (в случае показателя сатурации в покое 94 процента и ниже, а также по результатам проведения теста с 6-минутной ходьбой)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1169,76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A04.12.006.002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36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Дуплексное сканирование вен нижних конечностей (при наличии показаний по результатам определения концентрации Д-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димера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в крови)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875,69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с применением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искусственного интеллекта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7788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(рублей)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9"/>
        <w:gridCol w:w="2891"/>
        <w:gridCol w:w="4413"/>
        <w:gridCol w:w="1531"/>
      </w:tblGrid>
      <w:tr>
        <w:tblPrEx/>
        <w:trPr>
          <w:tblHeader/>
        </w:trPr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№ стр.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Наименование медицинской услуги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Тариф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>
          <w:tblHeader/>
        </w:trPr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A12.10.001.090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Электрокардиография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463,59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A03.18.001.090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Колоноскопия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с применением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1207,2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A06.20.004.090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Маммография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497,38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A06.09.006.090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Флюорография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169,23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A06.09.007.090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Рентгенография грудной клетки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345,77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A06.09.005.090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Компьютерная томография органов грудной полости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1146,36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2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289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A06.23.004.090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441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Компьютерная томография головного мозга с применением искусственного интеллекта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1146,36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left="7080" w:firstLine="708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Таблица 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Тарифы исследований и медицинских вмешательств, проводимых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рамках диспансеризации взрослого населения репродуктивного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возраста по оценке репродуктивного здоровья </w:t>
      </w:r>
      <w:r>
        <w:rPr>
          <w:rFonts w:ascii="Times New Roman" w:hAnsi="Times New Roman" w:eastAsia="Times New Roman" w:cs="Times New Roman"/>
          <w:b/>
          <w:sz w:val="28"/>
          <w:szCs w:val="28"/>
          <w:vertAlign w:val="superscript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84"/>
        <w:ind w:left="7080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(рублей)</w:t>
      </w:r>
      <w:r>
        <w:rPr>
          <w:sz w:val="28"/>
          <w:szCs w:val="28"/>
        </w:rPr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4"/>
        <w:gridCol w:w="709"/>
        <w:gridCol w:w="2126"/>
        <w:gridCol w:w="4820"/>
        <w:gridCol w:w="1134"/>
      </w:tblGrid>
      <w:tr>
        <w:tblPrEx/>
        <w:trPr>
          <w:tblHeader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№ стр.</w:t>
            </w:r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№</w:t>
            </w:r>
            <w:r/>
          </w:p>
          <w:p>
            <w:pPr>
              <w:pStyle w:val="884"/>
              <w:jc w:val="center"/>
            </w:pPr>
            <w:r>
              <w:t xml:space="preserve">п/п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Код услуги в системе ОМС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Наименование медицинской услуги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Тариф</w:t>
            </w:r>
            <w:r/>
          </w:p>
        </w:tc>
      </w:tr>
      <w:tr>
        <w:tblPrEx/>
        <w:trPr>
          <w:tblHeader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</w:t>
            </w:r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2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3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4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5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</w:t>
            </w:r>
            <w:r/>
          </w:p>
        </w:tc>
        <w:tc>
          <w:tcPr>
            <w:gridSpan w:val="3"/>
            <w:tcW w:w="808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Первый этап диспансеризации взрослого населения репродуктивного возраста по оценке репродуктивного здоровья женщин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1.1.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B11.001.001.101 </w:t>
            </w:r>
            <w:hyperlink w:tooltip="&lt;2&gt; включает" w:anchor="P13117" w:history="1">
              <w:r>
                <w:rPr>
                  <w:sz w:val="20"/>
                  <w:vertAlign w:val="superscript"/>
                </w:rPr>
                <w:t xml:space="preserve">6</w:t>
              </w:r>
            </w:hyperlink>
            <w:r/>
            <w:r/>
          </w:p>
        </w:tc>
        <w:tc>
          <w:tcPr>
            <w:gridSpan w:val="2"/>
            <w:tcW w:w="5954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18, 19, 20, 22, 23, 25, 26, 28, 29 лет</w:t>
            </w:r>
            <w:r/>
          </w:p>
        </w:tc>
      </w:tr>
      <w:tr>
        <w:tblPrEx/>
        <w:trPr>
          <w:tblHeader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1.1.1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B04.001.002.100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Посещение (осмотр, 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945,31 </w:t>
            </w:r>
            <w:r/>
          </w:p>
        </w:tc>
      </w:tr>
      <w:tr>
        <w:tblPrEx/>
        <w:trPr>
          <w:tblHeader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  <w:jc w:val="center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A12.20.001.001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Микроскопическое исследование влагалищных мазков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530,11 </w:t>
            </w:r>
            <w:r/>
          </w:p>
        </w:tc>
      </w:tr>
      <w:tr>
        <w:tblPrEx/>
        <w:trPr>
          <w:tblHeader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  <w:jc w:val="center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A09.20.011.001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Определение концентрации водородных ионов (</w:t>
            </w:r>
            <w:r>
              <w:t xml:space="preserve">pH</w:t>
            </w:r>
            <w:r>
              <w:t xml:space="preserve">) отделяемого слизистой оболочки влагалища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129,18 </w:t>
            </w:r>
            <w:r/>
          </w:p>
        </w:tc>
      </w:tr>
      <w:tr>
        <w:tblPrEx/>
        <w:trPr>
          <w:tblHeader/>
        </w:trPr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  <w:jc w:val="center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A26.20.034.001.001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Определение ДНК возбудителей инфекции, передаваемые половым путем (</w:t>
            </w:r>
            <w:r>
              <w:t xml:space="preserve">Neisseriagonorrhoeae</w:t>
            </w:r>
            <w:r>
              <w:t xml:space="preserve">, </w:t>
            </w:r>
            <w:r>
              <w:t xml:space="preserve">Trichomonasvaginalis</w:t>
            </w:r>
            <w:r>
              <w:t xml:space="preserve">, </w:t>
            </w:r>
            <w:r>
              <w:t xml:space="preserve">Chlamydiatrachomatis</w:t>
            </w:r>
            <w:r>
              <w:t xml:space="preserve">, </w:t>
            </w:r>
            <w:r>
              <w:t xml:space="preserve">Mycoplasmagenitalium</w:t>
            </w:r>
            <w:r>
              <w:t xml:space="preserve">) в отделяемом слизистых женских половых органов методом ПЦР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2097,78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1.2.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B11.001.001.102 </w:t>
            </w:r>
            <w:hyperlink w:tooltip="&lt;3&gt; включает" w:anchor="P13127" w:history="1">
              <w:r>
                <w:rPr>
                  <w:sz w:val="20"/>
                  <w:vertAlign w:val="superscript"/>
                </w:rPr>
                <w:t xml:space="preserve">7</w:t>
              </w:r>
            </w:hyperlink>
            <w:r/>
            <w:r/>
          </w:p>
        </w:tc>
        <w:tc>
          <w:tcPr>
            <w:gridSpan w:val="2"/>
            <w:tcW w:w="5954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21, 24, 27 лет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1.2.1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B04.001.002.100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Посещение (осмотр, 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945,31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  <w:jc w:val="center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A12.20.001.001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Микроскопическое исследование влагалищных мазков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530,11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  <w:jc w:val="center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A09.20.011.001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Определение концентрации водородных ионов (</w:t>
            </w:r>
            <w:r>
              <w:t xml:space="preserve">pH</w:t>
            </w:r>
            <w:r>
              <w:t xml:space="preserve">) отделяемого слизистой оболочки влагалища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129,18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  <w:jc w:val="center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A26.20.034.001.001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Определение ДНК возбудителей инфекции, передаваемые половым путем (</w:t>
            </w:r>
            <w:r>
              <w:t xml:space="preserve">Neisseriagonorrhoeae</w:t>
            </w:r>
            <w:r>
              <w:t xml:space="preserve">, </w:t>
            </w:r>
            <w:r>
              <w:t xml:space="preserve">Trichomonasvaginalis</w:t>
            </w:r>
            <w:r>
              <w:t xml:space="preserve">, </w:t>
            </w:r>
            <w:r>
              <w:t xml:space="preserve">Chlamydiatrachomatis</w:t>
            </w:r>
            <w:r>
              <w:t xml:space="preserve">, </w:t>
            </w:r>
            <w:r>
              <w:t xml:space="preserve">Mycoplasmagenitalium</w:t>
            </w:r>
            <w:r>
              <w:t xml:space="preserve">) в отделяемом слизистых женских половых органов методом ПЦР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2097,78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1.3.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B11.001.001.103 </w:t>
            </w:r>
            <w:hyperlink w:tooltip="&lt;4&gt; включает" w:anchor="P13137" w:history="1">
              <w:r>
                <w:rPr>
                  <w:sz w:val="20"/>
                  <w:vertAlign w:val="superscript"/>
                </w:rPr>
                <w:t xml:space="preserve">8</w:t>
              </w:r>
            </w:hyperlink>
            <w:r/>
            <w:r/>
          </w:p>
        </w:tc>
        <w:tc>
          <w:tcPr>
            <w:gridSpan w:val="2"/>
            <w:tcW w:w="5954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30, 35, 40, 45 лет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1.3.1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B04.001.002.100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Посещение (осмотр, 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945,31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  <w:jc w:val="center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A12.20.001.001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Микроскопическое исследование влагалищных мазков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530,11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  <w:jc w:val="center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A09.20.011.001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Определение концентрации водородных ионов (</w:t>
            </w:r>
            <w:r>
              <w:t xml:space="preserve">pH</w:t>
            </w:r>
            <w:r>
              <w:t xml:space="preserve">) отделяемого слизистой оболочки влагалища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129,18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1.4.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B11.001.001.104 </w:t>
            </w:r>
            <w:hyperlink w:tooltip="&lt;5&gt; включает" w:anchor="P13146" w:history="1">
              <w:r>
                <w:rPr>
                  <w:sz w:val="20"/>
                  <w:vertAlign w:val="superscript"/>
                </w:rPr>
                <w:t xml:space="preserve">9</w:t>
              </w:r>
            </w:hyperlink>
            <w:r/>
            <w:r/>
          </w:p>
        </w:tc>
        <w:tc>
          <w:tcPr>
            <w:gridSpan w:val="2"/>
            <w:tcW w:w="5954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Комплексное посещение акушера-гинеколога в рамках диспансеризации взрослого населения репродуктивного возраста по оценке репродуктивного здоровья женщин в возрасте 31 - 34, 36 - 39, 41 - 44, 46 - 49 лет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84"/>
            </w:pPr>
            <w:r>
              <w:t xml:space="preserve">1.4.1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B04.001.002.100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Посещение (осмотр, консультация) врача-акушера-гинеколога первичный в рамках первого этапа диспансеризации взрослого населения репродуктивного возраста по оценке репродуктивного здоровья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945,31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A12.20.001.001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Микроскопическое исследование влагалищных мазков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530,11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84"/>
            </w:pPr>
            <w:r/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A09.20.011.001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05"/>
              <w:spacing w:before="0" w:beforeAutospacing="0" w:after="0" w:afterAutospacing="0" w:line="288" w:lineRule="atLeast"/>
            </w:pPr>
            <w:r>
              <w:t xml:space="preserve">Определение концентрации водородных ионов (</w:t>
            </w:r>
            <w:r>
              <w:t xml:space="preserve">pH</w:t>
            </w:r>
            <w:r>
              <w:t xml:space="preserve">) отделяемого слизистой оболочки влагалища 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05"/>
              <w:jc w:val="right"/>
              <w:spacing w:before="0" w:beforeAutospacing="0" w:after="0" w:afterAutospacing="0"/>
            </w:pPr>
            <w:r>
              <w:t xml:space="preserve">129,18 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</w:pPr>
            <w:r/>
            <w:r/>
          </w:p>
        </w:tc>
        <w:tc>
          <w:tcPr>
            <w:gridSpan w:val="3"/>
            <w:tcW w:w="808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Дополнительные исследования в рамках диспансеризации взрослого населения репродуктивного возраста по оценке репродуктивного здоровья женщин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1.5.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A08.20.017.002.001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Жидкостное цитологическое исследование микропрепарата шейки матки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1096,81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1.6.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A26.20.009.002.002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Определение ДНК вирусов папилломы человека (</w:t>
            </w:r>
            <w:r>
              <w:t xml:space="preserve">Papillomavirus</w:t>
            </w:r>
            <w:r>
              <w:t xml:space="preserve">) высокого канцерогенного риска в отделяемом (соскобе) из цервикального канала методом ПЦР, качественное исследование (у женщин в возрасте 21 - 49 лет 1 раз в 5 лет)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1423,86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/>
            <w:r/>
          </w:p>
        </w:tc>
        <w:tc>
          <w:tcPr>
            <w:gridSpan w:val="3"/>
            <w:tcW w:w="808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Первый этап диспансеризации взрослого населения репродуктивного возраста по оценке репродуктивного здоровья мужчин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1.7.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B11.053.003.002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Прием</w:t>
            </w:r>
            <w:r>
              <w:t xml:space="preserve"> (осмотр) врачом-урологом в рамках диспансеризации взрослого населения репродуктивного возраста по оценке репродуктивного здоровья мужчин в возрасте 18 - 29 лет (при его отсутствии врачом-хирургом, прошедшим подготовку по вопросам репродуктивного здоровья)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761,12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1.8.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B11.053.003.003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Прием (осмотр) врачом-урологом в рамках </w:t>
            </w:r>
            <w:r>
              <w:t xml:space="preserve">диспансеризации взрослого населения репродуктивного возраста по оценке репродуктивного здоровья мужчин в возрасте 30 - 49 лет (при его отсутствии врачом-хирургом, прошедшим подготовку по вопросам репродуктивного здоровья)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761,12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2.</w:t>
            </w:r>
            <w:r/>
          </w:p>
        </w:tc>
        <w:tc>
          <w:tcPr>
            <w:gridSpan w:val="2"/>
            <w:tcW w:w="694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Второй этап диспансеризации взрослого населения репродуктивного возраста по оценке репродуктивного здоровья женщин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</w:pPr>
            <w:r/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2.1.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A26.20.034.001.002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Определение ДНК возбудителей инфекции, передаваемые половым путем (</w:t>
            </w:r>
            <w:r>
              <w:t xml:space="preserve">Neisseriagonorrhoeae</w:t>
            </w:r>
            <w:r>
              <w:t xml:space="preserve">, </w:t>
            </w:r>
            <w:r>
              <w:t xml:space="preserve">Trichomonasvaginalis</w:t>
            </w:r>
            <w:r>
              <w:t xml:space="preserve">, </w:t>
            </w:r>
            <w:r>
              <w:t xml:space="preserve">Chlamydiatrachomatis</w:t>
            </w:r>
            <w:r>
              <w:t xml:space="preserve">, </w:t>
            </w:r>
            <w:r>
              <w:t xml:space="preserve">Mycoplasmagenitalium</w:t>
            </w:r>
            <w:r>
              <w:t xml:space="preserve">) в отделяемом слизистых женских половых органов методом ПЦР (в возрасте 30 - 49 лет)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2097,78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2.2.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A04.20.001.001.001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Ультразвуковое исследование матки и придатков </w:t>
            </w:r>
            <w:r>
              <w:t xml:space="preserve">трансвагиальное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813,64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2.3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A04.20.001.001.005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Ультразвуковое исследование матки и придатков </w:t>
            </w:r>
            <w:r>
              <w:t xml:space="preserve">трансабдоминальное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807,35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2.4.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A04.20.002.001.001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Ультразвуковое исследование молочных желез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778,09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2.5.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B11.001.005.001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Повторный прием (осмотр) врачом акушером-гинекологом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821,14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3.</w:t>
            </w:r>
            <w:r/>
          </w:p>
        </w:tc>
        <w:tc>
          <w:tcPr>
            <w:gridSpan w:val="2"/>
            <w:tcW w:w="694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Второй этап диспансеризации взрослого населения репродуктивного возраста по оценке репродуктивного здоровья мужчин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</w:pPr>
            <w:r/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3.1.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B03.053.002.001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Спермограмма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1169,49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3.2.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A08.20.010.002.001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Микроскопическое исследование микрофлоры отделяемого мочеполовых органов (мочи, уретрального отделяемого, секрета предстательной железы) в целях выявления возбудителей инфекционных заболеваний у мужчин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1539,95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3.3.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A08.20.010.002.002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Проведение лабораторных исследований в целях выявления возбудителей инфекционных заболеваний органов малого таза методом ПЦР у мужчин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2747,73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3.4.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A04.21.001.005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Ультразвуковое исследование </w:t>
            </w:r>
            <w:r>
              <w:t xml:space="preserve">предстательной железы и органов мошонки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823,26</w:t>
            </w:r>
            <w:r/>
          </w:p>
        </w:tc>
      </w:tr>
      <w:tr>
        <w:tblPrEx/>
        <w:trPr/>
        <w:tc>
          <w:tcPr>
            <w:tcW w:w="704" w:type="dxa"/>
            <w:vAlign w:val="center"/>
            <w:textDirection w:val="lrTb"/>
            <w:noWrap w:val="false"/>
          </w:tcPr>
          <w:p>
            <w:pPr>
              <w:pStyle w:val="884"/>
              <w:numPr>
                <w:ilvl w:val="0"/>
                <w:numId w:val="3"/>
              </w:numPr>
              <w:ind w:left="75" w:firstLine="0"/>
              <w:jc w:val="center"/>
            </w:pPr>
            <w:r/>
            <w:r/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84"/>
              <w:jc w:val="center"/>
            </w:pPr>
            <w:r>
              <w:t xml:space="preserve">3.5.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B11.053.005.001</w:t>
            </w:r>
            <w:r/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884"/>
            </w:pPr>
            <w:r>
              <w:t xml:space="preserve">Повторный прием (осмотр) врачом-урологом (при его отсутствии врачом-хирургом, прошедшим подготовку по вопросам репродуктивного здоровья)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884"/>
              <w:jc w:val="right"/>
            </w:pPr>
            <w:r>
              <w:t xml:space="preserve">422,76</w:t>
            </w:r>
            <w:r/>
          </w:p>
        </w:tc>
      </w:tr>
    </w:tbl>
    <w:p>
      <w:pPr>
        <w:pStyle w:val="884"/>
        <w:ind w:firstLine="540"/>
        <w:jc w:val="both"/>
      </w:pPr>
      <w:r/>
      <w:r/>
    </w:p>
    <w:p>
      <w:pPr>
        <w:jc w:val="both"/>
        <w:spacing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t xml:space="preserve">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4"/>
        <w:ind w:firstLine="540"/>
        <w:jc w:val="both"/>
      </w:pPr>
      <w:r>
        <w:rPr>
          <w:sz w:val="20"/>
          <w:vertAlign w:val="superscript"/>
        </w:rPr>
        <w:t xml:space="preserve">1</w:t>
      </w:r>
      <w:r>
        <w:t xml:space="preserve">В целях выявления ранних признаков </w:t>
      </w:r>
      <w:r>
        <w:t xml:space="preserve">дислипидемии</w:t>
      </w:r>
      <w:r>
        <w:t xml:space="preserve"> и формирования атеросклероза одновременно с прохождением диспансеризации определенных групп взрослого организуется:</w:t>
      </w:r>
      <w:r/>
    </w:p>
    <w:p>
      <w:pPr>
        <w:pStyle w:val="884"/>
        <w:ind w:firstLine="540"/>
        <w:jc w:val="both"/>
      </w:pPr>
      <w:r>
        <w:t xml:space="preserve">однократное определение уровня липопротеида (a) в крови у всех пациентов в возрасте 18 - 40 лет по коду услуги: A09.05.027.003;</w:t>
      </w:r>
      <w:r/>
    </w:p>
    <w:p>
      <w:pPr>
        <w:pStyle w:val="884"/>
        <w:ind w:firstLine="540"/>
        <w:jc w:val="both"/>
      </w:pPr>
      <w:r>
        <w:t xml:space="preserve">оценка липидного профиля (общий холестерин, холестерин липопротеидов высок</w:t>
      </w:r>
      <w:r>
        <w:t xml:space="preserve">ой плотности, холестерин липопротеидов низкой плотности, холестерин липопротеидов очень низкой плотности, триглицериды) у пациентов в возрасте 18 - 39 лет - один раз в 6 лет, у пациентов с 40 лет и старше - один раз в 3 года по коду услуги: A09.05.027.001.</w:t>
      </w:r>
      <w:r/>
    </w:p>
    <w:p>
      <w:pPr>
        <w:pStyle w:val="884"/>
        <w:ind w:firstLine="540"/>
        <w:jc w:val="both"/>
      </w:pPr>
      <w:r>
        <w:t xml:space="preserve">Единицей учета врачебных осмотров при проведении профилактических медицинских осмотров, в том числе в рамках диспансеризации определенных групп населения, является профилактическое посещение.</w:t>
      </w:r>
      <w:r/>
    </w:p>
    <w:p>
      <w:pPr>
        <w:pStyle w:val="884"/>
        <w:ind w:firstLine="540"/>
      </w:pPr>
      <w:r>
        <w:rPr>
          <w:sz w:val="20"/>
          <w:vertAlign w:val="superscript"/>
        </w:rPr>
        <w:t xml:space="preserve">2</w:t>
      </w:r>
      <w:r>
        <w:t xml:space="preserve">При оказании медицинской помощи мобильной медицинской бригадой к установленным тарифам применяется коэффициент 1,05.</w:t>
      </w:r>
      <w:r/>
    </w:p>
    <w:p>
      <w:pPr>
        <w:pStyle w:val="884"/>
        <w:ind w:firstLine="540"/>
        <w:jc w:val="both"/>
      </w:pPr>
      <w:r>
        <w:tab/>
        <w:t xml:space="preserve">При оказании медицинской помощи в выходные и праздничные дни к установленным тарифам применяется коэффициент 1,05.</w:t>
      </w:r>
      <w:r/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sz w:val="20"/>
          <w:vertAlign w:val="superscript"/>
        </w:rPr>
        <w:t xml:space="preserve">3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Случай оказания медицинской помощи в связи с проведением мероприятий по диспансеризации пребывающих в стационарных учреждениях детей-сирот и детей, находящихся в трудной жизненной ситуации,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предъявляется к оплате по установленному тарифным соглашением тарифу комп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лексного посещения при условии выполнения стандарта законченного случая соответствующей диспансеризации, установленного Министерством здравоохранения Российской Федерации, или ее первого этапа и при необходимости дополнительных консультаций и исследований.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Если по основаниям, установленным порядком проведения соответствующей диспансеризаци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и, ребенку проведены дополнительные консультации и исследования, указанная медицинская помощь предъявляется к оплате по тарифу обращений соответствующего врача-специалиста дополнительно к тарифу комплексного посещения в связи с проведением диспансеризации.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В случае если у медицинской организации, имеющей лицензию на осуществление медицинской деятельности, предусматривающую выполнение работ (оказан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ие услуг) по "педиатрии" или "общей врачебной практике (семейной медицине)", отсутствует лицензия на медицинскую деятельность в части выполнения иных работ (услуг), перечисленных в приказе Министерством здравоохранения Российской Федерации, указанная медиц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инская организация привлекает для проведения диспансеризации детей-сирот и детей, находящихся в трудной жизненной ситуации, диспансеризации детей-сирот и детей, оставшихся без попечения родителей, в том числе усыновленных (удочеренных), принятых под опеку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(попечительство), в приемную или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 патронатную семью медицинских работников иных медицинских организаций, имеющих лицензию на осуществление медицинской деятельности в части выполнения требуемых работ (услуг), в соответствии с договорами, заключаемыми между этими медицинскими организациями.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pStyle w:val="884"/>
        <w:ind w:firstLine="540"/>
        <w:jc w:val="both"/>
      </w:pPr>
      <w:r>
        <w:rPr>
          <w:sz w:val="20"/>
          <w:vertAlign w:val="superscript"/>
        </w:rPr>
        <w:t xml:space="preserve">4</w:t>
      </w:r>
      <w:r>
        <w:t xml:space="preserve"> Граждане, переболевшие новой коронавирусной инфекцией (COVID-19), в течение года после заболевания вправе пройти углубленную диспансеризацию. Случай оказания медицинской помощи в связи с проведе</w:t>
      </w:r>
      <w:r>
        <w:t xml:space="preserve">нием мероприятий по углубленной диспансеризации граждан, переболевших новой коронавирусной инфекцией (COVID-19), предъявляется к оплате в соответствии с тарифным соглашением по тарифу комплексного посещения при условии выполнения стандарта законченного слу</w:t>
      </w:r>
      <w:r>
        <w:t xml:space="preserve">чая, включающего исследования и иные медицинские вмешательства. К учету принимаются медицинские услуги, проведенные не ранее 60 дней после выздоровления COVID-19. Недопустимо использование результатов исследований, проведенных во время заболевания COVID-19</w:t>
      </w:r>
      <w:r/>
    </w:p>
    <w:p>
      <w:pPr>
        <w:pStyle w:val="884"/>
        <w:ind w:firstLine="540"/>
        <w:jc w:val="both"/>
      </w:pPr>
      <w:r/>
      <w:r/>
    </w:p>
    <w:p>
      <w:pPr>
        <w:pStyle w:val="884"/>
        <w:ind w:firstLine="540"/>
        <w:jc w:val="both"/>
      </w:pPr>
      <w:r>
        <w:rPr>
          <w:sz w:val="20"/>
          <w:vertAlign w:val="superscript"/>
        </w:rPr>
        <w:t xml:space="preserve">5 </w:t>
      </w:r>
      <w:r>
        <w:t xml:space="preserve">Для женщин и мужчин репродуктивного возраста поэтапно в зависи</w:t>
      </w:r>
      <w:r>
        <w:t xml:space="preserve">мости от возрастных групп одновременно с прохождением профилактического осмотра или диспансеризации организуется проведение диспансеризации, направленной на оценку их репродуктивного здоровья в соответствии с методическими рекомендациями по диспансеризации</w:t>
      </w:r>
      <w:r>
        <w:t xml:space="preserve"> мужчин и женщин репродуктивного возраста с целью оценки репродуктивного здоровья, утвержденными заместителем Министра здравоохранения Российской Федерации Е.Г. Камкиным и заместителем Министра здравоохранения Российской Федерации Е.Г. Котовой 27.02.2026. </w:t>
      </w:r>
      <w:r/>
    </w:p>
    <w:p>
      <w:pPr>
        <w:pStyle w:val="884"/>
        <w:ind w:firstLine="540"/>
        <w:jc w:val="both"/>
        <w:rPr>
          <w:sz w:val="32"/>
        </w:rPr>
      </w:pPr>
      <w:r>
        <w:t xml:space="preserve">Объем медицинской помощи второго этапа диспансеризации, в том числе диспансеризации для оценки репродуктивного здоровья женщин и мужчин, включен в норматив объема медицинской помощи по обращениям в связи с заболеваниями.</w:t>
      </w:r>
      <w:r>
        <w:rPr>
          <w:sz w:val="32"/>
        </w:rPr>
      </w:r>
    </w:p>
    <w:p>
      <w:pPr>
        <w:pStyle w:val="884"/>
        <w:ind w:firstLine="540"/>
        <w:jc w:val="both"/>
      </w:pPr>
      <w:r>
        <w:rPr>
          <w:sz w:val="20"/>
          <w:vertAlign w:val="superscript"/>
        </w:rPr>
        <w:t xml:space="preserve">6</w:t>
      </w:r>
      <w:r>
        <w:t xml:space="preserve">включает</w:t>
      </w:r>
      <w:r/>
    </w:p>
    <w:p>
      <w:pPr>
        <w:pStyle w:val="884"/>
        <w:ind w:firstLine="540"/>
        <w:jc w:val="both"/>
      </w:pPr>
      <w:r>
        <w:t xml:space="preserve">B04.001.002.100 Посещение (осмотр, консультация) врача-акушера-г</w:t>
      </w:r>
      <w:r>
        <w:t xml:space="preserve">инеколога первичный в рамках первого этапа диспансеризации взрослого населения репродуктивного возраста по оценке репродуктивного здоровья, включающий в себя A01.30.026.001, A01.20.006.001, A01.20.005.001, A01.20.002.001, A02.20.001.001.001, A01.20.003.001</w:t>
      </w:r>
      <w:r/>
    </w:p>
    <w:p>
      <w:pPr>
        <w:pStyle w:val="884"/>
        <w:ind w:firstLine="540"/>
        <w:jc w:val="both"/>
      </w:pPr>
      <w:r>
        <w:t xml:space="preserve">A12.20.001.001 Микроскопическое исследование влагалищных мазков</w:t>
      </w:r>
      <w:r/>
    </w:p>
    <w:p>
      <w:pPr>
        <w:pStyle w:val="884"/>
        <w:ind w:firstLine="540"/>
        <w:jc w:val="both"/>
      </w:pPr>
      <w:r>
        <w:t xml:space="preserve">A09.20.011.001 Определение концентрации водородных ионов (</w:t>
      </w:r>
      <w:r>
        <w:t xml:space="preserve">pH</w:t>
      </w:r>
      <w:r>
        <w:t xml:space="preserve">) отделяемого слизистой оболочки влагалища</w:t>
      </w:r>
      <w:r/>
    </w:p>
    <w:p>
      <w:pPr>
        <w:pStyle w:val="884"/>
        <w:ind w:firstLine="540"/>
        <w:jc w:val="both"/>
      </w:pPr>
      <w:r>
        <w:t xml:space="preserve">A26.20.034.001.001 Определение ДНК возбудителей инфекции, передаваемые половым путем (</w:t>
      </w:r>
      <w:r>
        <w:t xml:space="preserve">Neisseriagonorrhoeae</w:t>
      </w:r>
      <w:r>
        <w:t xml:space="preserve">, </w:t>
      </w:r>
      <w:r>
        <w:t xml:space="preserve">Trichomonasvaginalis</w:t>
      </w:r>
      <w:r>
        <w:t xml:space="preserve">, </w:t>
      </w:r>
      <w:r>
        <w:t xml:space="preserve">Chlamydiatrachomatis</w:t>
      </w:r>
      <w:r>
        <w:t xml:space="preserve">, </w:t>
      </w:r>
      <w:r>
        <w:t xml:space="preserve">Mycoplasmagenitalium</w:t>
      </w:r>
      <w:r>
        <w:t xml:space="preserve">) в отделяемом слизистых женских половых органов методом ПЦР;</w:t>
      </w:r>
      <w:r/>
    </w:p>
    <w:p>
      <w:pPr>
        <w:pStyle w:val="884"/>
        <w:ind w:firstLine="540"/>
        <w:jc w:val="both"/>
      </w:pPr>
      <w:r>
        <w:rPr>
          <w:sz w:val="20"/>
          <w:vertAlign w:val="superscript"/>
        </w:rPr>
        <w:t xml:space="preserve">7</w:t>
      </w:r>
      <w:r>
        <w:t xml:space="preserve">включает</w:t>
      </w:r>
      <w:r/>
    </w:p>
    <w:p>
      <w:pPr>
        <w:pStyle w:val="884"/>
        <w:ind w:firstLine="540"/>
        <w:jc w:val="both"/>
      </w:pPr>
      <w:r>
        <w:t xml:space="preserve">B04.001.002.100 Посещение (осмотр, консультация) врача-акушера-г</w:t>
      </w:r>
      <w:r>
        <w:t xml:space="preserve">инеколога первичный в рамках первого этапа диспансеризации взрослого населения репродуктивного возраста по оценке репродуктивного здоровья, включающий в себя A01.30.026.001, A01.20.006.001, A01.20.005.001, A01.20.002.001, A02.20.001.001.001, A01.20.003.001</w:t>
      </w:r>
      <w:r/>
    </w:p>
    <w:p>
      <w:pPr>
        <w:pStyle w:val="884"/>
        <w:ind w:firstLine="540"/>
        <w:jc w:val="both"/>
      </w:pPr>
      <w:r>
        <w:t xml:space="preserve">A12.20.001.001 Микроскопическое исследование влагалищных мазков</w:t>
      </w:r>
      <w:r/>
    </w:p>
    <w:p>
      <w:pPr>
        <w:pStyle w:val="884"/>
        <w:ind w:firstLine="540"/>
        <w:jc w:val="both"/>
      </w:pPr>
      <w:r>
        <w:t xml:space="preserve">A09.20.011.001 Определение концентрации водородных ионов (</w:t>
      </w:r>
      <w:r>
        <w:t xml:space="preserve">pH</w:t>
      </w:r>
      <w:r>
        <w:t xml:space="preserve">) отделяемого слизистой оболочки влагалища</w:t>
      </w:r>
      <w:r/>
    </w:p>
    <w:p>
      <w:pPr>
        <w:pStyle w:val="884"/>
        <w:ind w:firstLine="540"/>
        <w:jc w:val="both"/>
      </w:pPr>
      <w:r>
        <w:t xml:space="preserve">A26.20.034.001.001 Определение ДНК возбудителей инфекции, передаваемые половым путем (</w:t>
      </w:r>
      <w:r>
        <w:t xml:space="preserve">Neisseriagonorrhoeae</w:t>
      </w:r>
      <w:r>
        <w:t xml:space="preserve">, </w:t>
      </w:r>
      <w:r>
        <w:t xml:space="preserve">Trichomonasvaginalis</w:t>
      </w:r>
      <w:r>
        <w:t xml:space="preserve">, </w:t>
      </w:r>
      <w:r>
        <w:t xml:space="preserve">Chlamydiatrachomatis</w:t>
      </w:r>
      <w:r>
        <w:t xml:space="preserve">, </w:t>
      </w:r>
      <w:r>
        <w:t xml:space="preserve">Mycoplasmagenitalium</w:t>
      </w:r>
      <w:r>
        <w:t xml:space="preserve">) в отделяемом слизистых женских половых органов методом ПЦР;</w:t>
      </w:r>
      <w:r/>
    </w:p>
    <w:p>
      <w:pPr>
        <w:pStyle w:val="884"/>
        <w:ind w:firstLine="540"/>
        <w:jc w:val="both"/>
      </w:pPr>
      <w:r>
        <w:rPr>
          <w:sz w:val="20"/>
          <w:vertAlign w:val="superscript"/>
        </w:rPr>
        <w:t xml:space="preserve">8</w:t>
      </w:r>
      <w:r>
        <w:t xml:space="preserve">включает</w:t>
      </w:r>
      <w:r/>
    </w:p>
    <w:p>
      <w:pPr>
        <w:pStyle w:val="884"/>
        <w:ind w:firstLine="540"/>
        <w:jc w:val="both"/>
      </w:pPr>
      <w:r>
        <w:t xml:space="preserve">B04.001.002.100 Посещение (осмотр, консультация) врача-акушера-г</w:t>
      </w:r>
      <w:r>
        <w:t xml:space="preserve">инеколога первичный в рамках первого этапа диспансеризации взрослого населения репродуктивного возраста по оценке репродуктивного здоровья, включающий в себя A01.30.026.001, A01.20.006.001, A01.20.005.001, A01.20.002.001, A02.20.001.001.001, A01.20.003.001</w:t>
      </w:r>
      <w:r/>
    </w:p>
    <w:p>
      <w:pPr>
        <w:pStyle w:val="884"/>
        <w:ind w:firstLine="540"/>
        <w:jc w:val="both"/>
      </w:pPr>
      <w:r>
        <w:t xml:space="preserve">A12.20.001.001 Микроскопическое исследование влагалищных мазков</w:t>
      </w:r>
      <w:r/>
    </w:p>
    <w:p>
      <w:pPr>
        <w:pStyle w:val="884"/>
        <w:ind w:firstLine="540"/>
        <w:jc w:val="both"/>
      </w:pPr>
      <w:r>
        <w:t xml:space="preserve">A09.20.011.001 Определение концентрации водородных ионов (</w:t>
      </w:r>
      <w:r>
        <w:t xml:space="preserve">pH</w:t>
      </w:r>
      <w:r>
        <w:t xml:space="preserve">) отделяемого слизистой оболочки влагалища;</w:t>
      </w:r>
      <w:r/>
    </w:p>
    <w:p>
      <w:pPr>
        <w:pStyle w:val="884"/>
        <w:ind w:firstLine="540"/>
        <w:jc w:val="both"/>
      </w:pPr>
      <w:r>
        <w:rPr>
          <w:sz w:val="20"/>
          <w:vertAlign w:val="superscript"/>
        </w:rPr>
        <w:t xml:space="preserve">9</w:t>
      </w:r>
      <w:r>
        <w:t xml:space="preserve">включает</w:t>
      </w:r>
      <w:r/>
    </w:p>
    <w:p>
      <w:pPr>
        <w:pStyle w:val="884"/>
        <w:ind w:firstLine="540"/>
        <w:jc w:val="both"/>
      </w:pPr>
      <w:r>
        <w:t xml:space="preserve">B04.001.002.100 Посещение (осмотр, консультация) врача-акушера-г</w:t>
      </w:r>
      <w:r>
        <w:t xml:space="preserve">инеколога первичный в рамках первого этапа диспансеризации взрослого населения репродуктивного возраста по оценке репродуктивного здоровья, включающий в себя A01.30.026.001, A01.20.006.001, A01.20.005.001, A01.20.002.001, A02.20.001.001.001, A01.20.003.001</w:t>
      </w:r>
      <w:r/>
    </w:p>
    <w:p>
      <w:pPr>
        <w:pStyle w:val="884"/>
        <w:ind w:firstLine="540"/>
        <w:jc w:val="both"/>
      </w:pPr>
      <w:r>
        <w:t xml:space="preserve">A12.20.001.001 Микроскопическое исследование влагалищных мазков</w:t>
      </w:r>
      <w:r/>
    </w:p>
    <w:p>
      <w:pPr>
        <w:pStyle w:val="884"/>
        <w:ind w:firstLine="540"/>
        <w:jc w:val="both"/>
      </w:pPr>
      <w:r>
        <w:t xml:space="preserve">A09.20.011.001 Определение концентрации водородных ионов (</w:t>
      </w:r>
      <w:r>
        <w:t xml:space="preserve">pH</w:t>
      </w:r>
      <w:r>
        <w:t xml:space="preserve">) отделяемого слизистой оболочки влагалища.</w:t>
      </w:r>
      <w:r/>
    </w:p>
    <w:p>
      <w:pPr>
        <w:pStyle w:val="884"/>
        <w:jc w:val="both"/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70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26276299"/>
      <w:docPartObj>
        <w:docPartGallery w:val="Page Numbers (Top of Page)"/>
        <w:docPartUnique w:val="true"/>
      </w:docPartObj>
      <w:rPr/>
    </w:sdtPr>
    <w:sdtContent>
      <w:p>
        <w:pPr>
          <w:pStyle w:val="73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30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73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 w:default="1">
    <w:name w:val="Normal"/>
    <w:qFormat/>
  </w:style>
  <w:style w:type="paragraph" w:styleId="685">
    <w:name w:val="Heading 1"/>
    <w:basedOn w:val="684"/>
    <w:next w:val="684"/>
    <w:link w:val="7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86">
    <w:name w:val="Heading 2"/>
    <w:basedOn w:val="684"/>
    <w:next w:val="684"/>
    <w:link w:val="71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87">
    <w:name w:val="Heading 3"/>
    <w:basedOn w:val="684"/>
    <w:next w:val="684"/>
    <w:link w:val="717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88">
    <w:name w:val="Heading 4"/>
    <w:basedOn w:val="684"/>
    <w:next w:val="684"/>
    <w:link w:val="71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9">
    <w:name w:val="Heading 5"/>
    <w:basedOn w:val="684"/>
    <w:next w:val="684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0">
    <w:name w:val="Heading 6"/>
    <w:basedOn w:val="684"/>
    <w:next w:val="684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91">
    <w:name w:val="Heading 7"/>
    <w:basedOn w:val="684"/>
    <w:next w:val="684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92">
    <w:name w:val="Heading 8"/>
    <w:basedOn w:val="684"/>
    <w:next w:val="684"/>
    <w:link w:val="72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93">
    <w:name w:val="Heading 9"/>
    <w:basedOn w:val="684"/>
    <w:next w:val="684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4" w:default="1">
    <w:name w:val="Default Paragraph Font"/>
    <w:uiPriority w:val="1"/>
    <w:semiHidden/>
    <w:unhideWhenUsed/>
  </w:style>
  <w:style w:type="table" w:styleId="6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6" w:default="1">
    <w:name w:val="No List"/>
    <w:uiPriority w:val="99"/>
    <w:semiHidden/>
    <w:unhideWhenUsed/>
  </w:style>
  <w:style w:type="character" w:styleId="697" w:customStyle="1">
    <w:name w:val="Heading 1 Char"/>
    <w:basedOn w:val="69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8" w:customStyle="1">
    <w:name w:val="Heading 2 Char"/>
    <w:basedOn w:val="694"/>
    <w:uiPriority w:val="9"/>
    <w:rPr>
      <w:rFonts w:ascii="Liberation Sans" w:hAnsi="Liberation Sans" w:eastAsia="Liberation Sans" w:cs="Liberation Sans"/>
      <w:sz w:val="34"/>
    </w:rPr>
  </w:style>
  <w:style w:type="character" w:styleId="699" w:customStyle="1">
    <w:name w:val="Heading 3 Char"/>
    <w:basedOn w:val="69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0" w:customStyle="1">
    <w:name w:val="Heading 4 Char"/>
    <w:basedOn w:val="69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1" w:customStyle="1">
    <w:name w:val="Heading 5 Char"/>
    <w:basedOn w:val="69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2" w:customStyle="1">
    <w:name w:val="Heading 6 Char"/>
    <w:basedOn w:val="69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3" w:customStyle="1">
    <w:name w:val="Heading 7 Char"/>
    <w:basedOn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4" w:customStyle="1">
    <w:name w:val="Heading 8 Char"/>
    <w:basedOn w:val="69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5" w:customStyle="1">
    <w:name w:val="Heading 9 Char"/>
    <w:basedOn w:val="69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6" w:customStyle="1">
    <w:name w:val="Title Char"/>
    <w:basedOn w:val="694"/>
    <w:uiPriority w:val="10"/>
    <w:rPr>
      <w:sz w:val="48"/>
      <w:szCs w:val="48"/>
    </w:rPr>
  </w:style>
  <w:style w:type="character" w:styleId="707" w:customStyle="1">
    <w:name w:val="Subtitle Char"/>
    <w:basedOn w:val="694"/>
    <w:uiPriority w:val="11"/>
    <w:rPr>
      <w:sz w:val="24"/>
      <w:szCs w:val="24"/>
    </w:rPr>
  </w:style>
  <w:style w:type="character" w:styleId="708" w:customStyle="1">
    <w:name w:val="Quote Char"/>
    <w:uiPriority w:val="29"/>
    <w:rPr>
      <w:i/>
    </w:rPr>
  </w:style>
  <w:style w:type="character" w:styleId="709" w:customStyle="1">
    <w:name w:val="Intense Quote Char"/>
    <w:uiPriority w:val="30"/>
    <w:rPr>
      <w:i/>
    </w:rPr>
  </w:style>
  <w:style w:type="character" w:styleId="710" w:customStyle="1">
    <w:name w:val="Header Char"/>
    <w:basedOn w:val="694"/>
    <w:uiPriority w:val="99"/>
  </w:style>
  <w:style w:type="character" w:styleId="711" w:customStyle="1">
    <w:name w:val="Footer Char"/>
    <w:basedOn w:val="694"/>
    <w:uiPriority w:val="99"/>
  </w:style>
  <w:style w:type="character" w:styleId="712" w:customStyle="1">
    <w:name w:val="Caption Char"/>
    <w:basedOn w:val="694"/>
    <w:uiPriority w:val="35"/>
    <w:rPr>
      <w:b/>
      <w:bCs/>
      <w:color w:val="5b9bd5" w:themeColor="accent1"/>
      <w:sz w:val="18"/>
      <w:szCs w:val="18"/>
    </w:rPr>
  </w:style>
  <w:style w:type="character" w:styleId="713" w:customStyle="1">
    <w:name w:val="Footnote Text Char"/>
    <w:uiPriority w:val="99"/>
    <w:rPr>
      <w:sz w:val="18"/>
    </w:rPr>
  </w:style>
  <w:style w:type="character" w:styleId="714" w:customStyle="1">
    <w:name w:val="Endnote Text Char"/>
    <w:uiPriority w:val="99"/>
    <w:rPr>
      <w:sz w:val="20"/>
    </w:rPr>
  </w:style>
  <w:style w:type="character" w:styleId="715" w:customStyle="1">
    <w:name w:val="Заголовок 1 Знак"/>
    <w:basedOn w:val="694"/>
    <w:link w:val="68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6" w:customStyle="1">
    <w:name w:val="Заголовок 2 Знак"/>
    <w:basedOn w:val="694"/>
    <w:link w:val="686"/>
    <w:uiPriority w:val="9"/>
    <w:rPr>
      <w:rFonts w:ascii="Liberation Sans" w:hAnsi="Liberation Sans" w:eastAsia="Liberation Sans" w:cs="Liberation Sans"/>
      <w:sz w:val="34"/>
    </w:rPr>
  </w:style>
  <w:style w:type="character" w:styleId="717" w:customStyle="1">
    <w:name w:val="Заголовок 3 Знак"/>
    <w:basedOn w:val="694"/>
    <w:link w:val="68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8" w:customStyle="1">
    <w:name w:val="Заголовок 4 Знак"/>
    <w:basedOn w:val="694"/>
    <w:link w:val="68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9" w:customStyle="1">
    <w:name w:val="Заголовок 5 Знак"/>
    <w:basedOn w:val="694"/>
    <w:link w:val="68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0" w:customStyle="1">
    <w:name w:val="Заголовок 6 Знак"/>
    <w:basedOn w:val="694"/>
    <w:link w:val="69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1" w:customStyle="1">
    <w:name w:val="Заголовок 7 Знак"/>
    <w:basedOn w:val="694"/>
    <w:link w:val="69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2" w:customStyle="1">
    <w:name w:val="Заголовок 8 Знак"/>
    <w:basedOn w:val="694"/>
    <w:link w:val="69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3" w:customStyle="1">
    <w:name w:val="Заголовок 9 Знак"/>
    <w:basedOn w:val="694"/>
    <w:link w:val="69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4">
    <w:name w:val="List Paragraph"/>
    <w:basedOn w:val="684"/>
    <w:uiPriority w:val="34"/>
    <w:qFormat/>
    <w:pPr>
      <w:contextualSpacing/>
      <w:ind w:left="720"/>
    </w:pPr>
  </w:style>
  <w:style w:type="paragraph" w:styleId="725">
    <w:name w:val="No Spacing"/>
    <w:uiPriority w:val="1"/>
    <w:qFormat/>
    <w:pPr>
      <w:spacing w:after="0" w:line="240" w:lineRule="auto"/>
    </w:pPr>
  </w:style>
  <w:style w:type="paragraph" w:styleId="726">
    <w:name w:val="Title"/>
    <w:basedOn w:val="684"/>
    <w:next w:val="684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 w:customStyle="1">
    <w:name w:val="Название Знак"/>
    <w:basedOn w:val="694"/>
    <w:link w:val="726"/>
    <w:uiPriority w:val="10"/>
    <w:rPr>
      <w:sz w:val="48"/>
      <w:szCs w:val="48"/>
    </w:rPr>
  </w:style>
  <w:style w:type="paragraph" w:styleId="728">
    <w:name w:val="Subtitle"/>
    <w:basedOn w:val="684"/>
    <w:next w:val="684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 w:customStyle="1">
    <w:name w:val="Подзаголовок Знак"/>
    <w:basedOn w:val="694"/>
    <w:link w:val="728"/>
    <w:uiPriority w:val="11"/>
    <w:rPr>
      <w:sz w:val="24"/>
      <w:szCs w:val="24"/>
    </w:rPr>
  </w:style>
  <w:style w:type="paragraph" w:styleId="730">
    <w:name w:val="Quote"/>
    <w:basedOn w:val="684"/>
    <w:next w:val="684"/>
    <w:link w:val="731"/>
    <w:uiPriority w:val="29"/>
    <w:qFormat/>
    <w:pPr>
      <w:ind w:left="720" w:right="720"/>
    </w:pPr>
    <w:rPr>
      <w:i/>
    </w:rPr>
  </w:style>
  <w:style w:type="character" w:styleId="731" w:customStyle="1">
    <w:name w:val="Цитата 2 Знак"/>
    <w:link w:val="730"/>
    <w:uiPriority w:val="29"/>
    <w:rPr>
      <w:i/>
    </w:rPr>
  </w:style>
  <w:style w:type="paragraph" w:styleId="732">
    <w:name w:val="Intense Quote"/>
    <w:basedOn w:val="684"/>
    <w:next w:val="684"/>
    <w:link w:val="73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 w:customStyle="1">
    <w:name w:val="Выделенная цитата Знак"/>
    <w:link w:val="732"/>
    <w:uiPriority w:val="30"/>
    <w:rPr>
      <w:i/>
    </w:rPr>
  </w:style>
  <w:style w:type="paragraph" w:styleId="734">
    <w:name w:val="Header"/>
    <w:basedOn w:val="684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 w:customStyle="1">
    <w:name w:val="Верхний колонтитул Знак"/>
    <w:basedOn w:val="694"/>
    <w:link w:val="734"/>
    <w:uiPriority w:val="99"/>
  </w:style>
  <w:style w:type="paragraph" w:styleId="736">
    <w:name w:val="Footer"/>
    <w:basedOn w:val="684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 w:customStyle="1">
    <w:name w:val="Нижний колонтитул Знак"/>
    <w:basedOn w:val="694"/>
    <w:link w:val="736"/>
    <w:uiPriority w:val="99"/>
  </w:style>
  <w:style w:type="paragraph" w:styleId="738">
    <w:name w:val="Caption"/>
    <w:basedOn w:val="684"/>
    <w:next w:val="684"/>
    <w:link w:val="73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9" w:customStyle="1">
    <w:name w:val="Название объекта Знак"/>
    <w:basedOn w:val="694"/>
    <w:link w:val="738"/>
    <w:uiPriority w:val="35"/>
    <w:rPr>
      <w:b/>
      <w:bCs/>
      <w:color w:val="5b9bd5" w:themeColor="accent1"/>
      <w:sz w:val="18"/>
      <w:szCs w:val="18"/>
    </w:rPr>
  </w:style>
  <w:style w:type="table" w:styleId="740">
    <w:name w:val="Table Grid"/>
    <w:basedOn w:val="69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1" w:customStyle="1">
    <w:name w:val="Table Grid Light"/>
    <w:basedOn w:val="69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2">
    <w:name w:val="Plain Table 1"/>
    <w:basedOn w:val="69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3">
    <w:name w:val="Plain Table 2"/>
    <w:basedOn w:val="69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4">
    <w:name w:val="Plain Table 3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69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 w:customStyle="1">
    <w:name w:val="Grid Table 4 - Accent 1"/>
    <w:basedOn w:val="69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0" w:customStyle="1">
    <w:name w:val="Grid Table 4 - Accent 2"/>
    <w:basedOn w:val="69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1" w:customStyle="1">
    <w:name w:val="Grid Table 4 - Accent 3"/>
    <w:basedOn w:val="69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2" w:customStyle="1">
    <w:name w:val="Grid Table 4 - Accent 4"/>
    <w:basedOn w:val="69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3" w:customStyle="1">
    <w:name w:val="Grid Table 4 - Accent 5"/>
    <w:basedOn w:val="69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4" w:customStyle="1">
    <w:name w:val="Grid Table 4 - Accent 6"/>
    <w:basedOn w:val="69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5">
    <w:name w:val="Grid Table 5 Dark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2">
    <w:name w:val="Grid Table 6 Colorful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3" w:customStyle="1">
    <w:name w:val="Grid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4" w:customStyle="1">
    <w:name w:val="Grid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5" w:customStyle="1">
    <w:name w:val="Grid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6" w:customStyle="1">
    <w:name w:val="Grid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7" w:customStyle="1">
    <w:name w:val="Grid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8" w:customStyle="1">
    <w:name w:val="Grid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9">
    <w:name w:val="Grid Table 7 Colorful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Grid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Grid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Grid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Grid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Grid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Grid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>
    <w:name w:val="List Table 1 Light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1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2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3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4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5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6"/>
    <w:basedOn w:val="69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5" w:customStyle="1">
    <w:name w:val="List Table 5 Dark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6" w:customStyle="1">
    <w:name w:val="List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7" w:customStyle="1">
    <w:name w:val="List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8" w:customStyle="1">
    <w:name w:val="List Table 5 Dark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9" w:customStyle="1">
    <w:name w:val="List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0" w:customStyle="1">
    <w:name w:val="List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1">
    <w:name w:val="List Table 6 Colorful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2" w:customStyle="1">
    <w:name w:val="List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3" w:customStyle="1">
    <w:name w:val="List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4" w:customStyle="1">
    <w:name w:val="List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5" w:customStyle="1">
    <w:name w:val="List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6" w:customStyle="1">
    <w:name w:val="List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7" w:customStyle="1">
    <w:name w:val="List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8">
    <w:name w:val="List Table 7 Colorful"/>
    <w:basedOn w:val="69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9" w:customStyle="1">
    <w:name w:val="List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0" w:customStyle="1">
    <w:name w:val="List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st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st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3" w:customStyle="1">
    <w:name w:val="List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4" w:customStyle="1">
    <w:name w:val="List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Lined - Accent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Lined - Accent 1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7" w:customStyle="1">
    <w:name w:val="Lined - Accent 2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Lined - Accent 3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Lined - Accent 4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Lined - Accent 5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1" w:customStyle="1">
    <w:name w:val="Lined - Accent 6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 &amp; Lined - Accent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3" w:customStyle="1">
    <w:name w:val="Bordered &amp; Lined - Accent 1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4" w:customStyle="1">
    <w:name w:val="Bordered &amp; Lined - Accent 2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5" w:customStyle="1">
    <w:name w:val="Bordered &amp; Lined - Accent 3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6" w:customStyle="1">
    <w:name w:val="Bordered &amp; Lined - Accent 4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7" w:customStyle="1">
    <w:name w:val="Bordered &amp; Lined - Accent 5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8" w:customStyle="1">
    <w:name w:val="Bordered &amp; Lined - Accent 6"/>
    <w:basedOn w:val="69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9" w:customStyle="1">
    <w:name w:val="Bordered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0" w:customStyle="1">
    <w:name w:val="Bordered - Accent 1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1" w:customStyle="1">
    <w:name w:val="Bordered - Accent 2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2" w:customStyle="1">
    <w:name w:val="Bordered - Accent 3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3" w:customStyle="1">
    <w:name w:val="Bordered - Accent 4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4" w:customStyle="1">
    <w:name w:val="Bordered - Accent 5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5" w:customStyle="1">
    <w:name w:val="Bordered - Accent 6"/>
    <w:basedOn w:val="69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6">
    <w:name w:val="footnote text"/>
    <w:basedOn w:val="684"/>
    <w:link w:val="867"/>
    <w:uiPriority w:val="99"/>
    <w:semiHidden/>
    <w:unhideWhenUsed/>
    <w:pPr>
      <w:spacing w:after="40" w:line="240" w:lineRule="auto"/>
    </w:pPr>
    <w:rPr>
      <w:sz w:val="18"/>
    </w:rPr>
  </w:style>
  <w:style w:type="character" w:styleId="867" w:customStyle="1">
    <w:name w:val="Текст сноски Знак"/>
    <w:link w:val="866"/>
    <w:uiPriority w:val="99"/>
    <w:rPr>
      <w:sz w:val="18"/>
    </w:rPr>
  </w:style>
  <w:style w:type="character" w:styleId="868">
    <w:name w:val="footnote reference"/>
    <w:basedOn w:val="694"/>
    <w:uiPriority w:val="99"/>
    <w:unhideWhenUsed/>
    <w:rPr>
      <w:vertAlign w:val="superscript"/>
    </w:rPr>
  </w:style>
  <w:style w:type="paragraph" w:styleId="869">
    <w:name w:val="endnote text"/>
    <w:basedOn w:val="684"/>
    <w:link w:val="870"/>
    <w:uiPriority w:val="99"/>
    <w:semiHidden/>
    <w:unhideWhenUsed/>
    <w:pPr>
      <w:spacing w:after="0" w:line="240" w:lineRule="auto"/>
    </w:pPr>
    <w:rPr>
      <w:sz w:val="20"/>
    </w:rPr>
  </w:style>
  <w:style w:type="character" w:styleId="870" w:customStyle="1">
    <w:name w:val="Текст концевой сноски Знак"/>
    <w:link w:val="869"/>
    <w:uiPriority w:val="99"/>
    <w:rPr>
      <w:sz w:val="20"/>
    </w:rPr>
  </w:style>
  <w:style w:type="character" w:styleId="871">
    <w:name w:val="endnote reference"/>
    <w:basedOn w:val="694"/>
    <w:uiPriority w:val="99"/>
    <w:semiHidden/>
    <w:unhideWhenUsed/>
    <w:rPr>
      <w:vertAlign w:val="superscript"/>
    </w:rPr>
  </w:style>
  <w:style w:type="paragraph" w:styleId="872">
    <w:name w:val="toc 1"/>
    <w:basedOn w:val="684"/>
    <w:next w:val="684"/>
    <w:uiPriority w:val="39"/>
    <w:unhideWhenUsed/>
    <w:pPr>
      <w:spacing w:after="57"/>
    </w:pPr>
  </w:style>
  <w:style w:type="paragraph" w:styleId="873">
    <w:name w:val="toc 2"/>
    <w:basedOn w:val="684"/>
    <w:next w:val="684"/>
    <w:uiPriority w:val="39"/>
    <w:unhideWhenUsed/>
    <w:pPr>
      <w:ind w:left="283"/>
      <w:spacing w:after="57"/>
    </w:pPr>
  </w:style>
  <w:style w:type="paragraph" w:styleId="874">
    <w:name w:val="toc 3"/>
    <w:basedOn w:val="684"/>
    <w:next w:val="684"/>
    <w:uiPriority w:val="39"/>
    <w:unhideWhenUsed/>
    <w:pPr>
      <w:ind w:left="567"/>
      <w:spacing w:after="57"/>
    </w:pPr>
  </w:style>
  <w:style w:type="paragraph" w:styleId="875">
    <w:name w:val="toc 4"/>
    <w:basedOn w:val="684"/>
    <w:next w:val="684"/>
    <w:uiPriority w:val="39"/>
    <w:unhideWhenUsed/>
    <w:pPr>
      <w:ind w:left="850"/>
      <w:spacing w:after="57"/>
    </w:pPr>
  </w:style>
  <w:style w:type="paragraph" w:styleId="876">
    <w:name w:val="toc 5"/>
    <w:basedOn w:val="684"/>
    <w:next w:val="684"/>
    <w:uiPriority w:val="39"/>
    <w:unhideWhenUsed/>
    <w:pPr>
      <w:ind w:left="1134"/>
      <w:spacing w:after="57"/>
    </w:pPr>
  </w:style>
  <w:style w:type="paragraph" w:styleId="877">
    <w:name w:val="toc 6"/>
    <w:basedOn w:val="684"/>
    <w:next w:val="684"/>
    <w:uiPriority w:val="39"/>
    <w:unhideWhenUsed/>
    <w:pPr>
      <w:ind w:left="1417"/>
      <w:spacing w:after="57"/>
    </w:pPr>
  </w:style>
  <w:style w:type="paragraph" w:styleId="878">
    <w:name w:val="toc 7"/>
    <w:basedOn w:val="684"/>
    <w:next w:val="684"/>
    <w:uiPriority w:val="39"/>
    <w:unhideWhenUsed/>
    <w:pPr>
      <w:ind w:left="1701"/>
      <w:spacing w:after="57"/>
    </w:pPr>
  </w:style>
  <w:style w:type="paragraph" w:styleId="879">
    <w:name w:val="toc 8"/>
    <w:basedOn w:val="684"/>
    <w:next w:val="684"/>
    <w:uiPriority w:val="39"/>
    <w:unhideWhenUsed/>
    <w:pPr>
      <w:ind w:left="1984"/>
      <w:spacing w:after="57"/>
    </w:pPr>
  </w:style>
  <w:style w:type="paragraph" w:styleId="880">
    <w:name w:val="toc 9"/>
    <w:basedOn w:val="684"/>
    <w:next w:val="684"/>
    <w:uiPriority w:val="39"/>
    <w:unhideWhenUsed/>
    <w:pPr>
      <w:ind w:left="2268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684"/>
    <w:next w:val="684"/>
    <w:uiPriority w:val="99"/>
    <w:unhideWhenUsed/>
    <w:pPr>
      <w:spacing w:after="0"/>
    </w:pPr>
  </w:style>
  <w:style w:type="numbering" w:styleId="883" w:customStyle="1">
    <w:name w:val="Нет списка1"/>
    <w:next w:val="696"/>
    <w:uiPriority w:val="99"/>
    <w:semiHidden/>
    <w:unhideWhenUsed/>
  </w:style>
  <w:style w:type="paragraph" w:styleId="884" w:customStyle="1">
    <w:name w:val="ConsPlusNormal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5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86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sz w:val="24"/>
      <w:szCs w:val="20"/>
      <w:lang w:eastAsia="ru-RU"/>
    </w:rPr>
  </w:style>
  <w:style w:type="paragraph" w:styleId="887" w:customStyle="1">
    <w:name w:val="ConsPlusCell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88" w:customStyle="1">
    <w:name w:val="ConsPlusDocList"/>
    <w:pPr>
      <w:spacing w:after="0" w:line="240" w:lineRule="auto"/>
      <w:widowControl w:val="off"/>
    </w:pPr>
    <w:rPr>
      <w:rFonts w:ascii="Tahoma" w:hAnsi="Tahoma" w:eastAsia="Times New Roman" w:cs="Tahoma"/>
      <w:sz w:val="18"/>
      <w:szCs w:val="20"/>
      <w:lang w:eastAsia="ru-RU"/>
    </w:rPr>
  </w:style>
  <w:style w:type="paragraph" w:styleId="889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paragraph" w:styleId="890" w:customStyle="1">
    <w:name w:val="ConsPlusJurTerm"/>
    <w:pPr>
      <w:spacing w:after="0" w:line="240" w:lineRule="auto"/>
      <w:widowControl w:val="off"/>
    </w:pPr>
    <w:rPr>
      <w:rFonts w:ascii="Tahoma" w:hAnsi="Tahoma" w:eastAsia="Times New Roman" w:cs="Tahoma"/>
      <w:sz w:val="26"/>
      <w:szCs w:val="20"/>
      <w:lang w:eastAsia="ru-RU"/>
    </w:rPr>
  </w:style>
  <w:style w:type="paragraph" w:styleId="891" w:customStyle="1">
    <w:name w:val="ConsPlusTextList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2" w:customStyle="1">
    <w:name w:val="ConsPlusTextList3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3" w:customStyle="1">
    <w:name w:val="ConsPlusNormal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4" w:customStyle="1">
    <w:name w:val="ConsPlusNonformat1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95" w:customStyle="1">
    <w:name w:val="ConsPlusTitle1"/>
    <w:pPr>
      <w:spacing w:after="0" w:line="240" w:lineRule="auto"/>
      <w:widowControl w:val="off"/>
    </w:pPr>
    <w:rPr>
      <w:rFonts w:ascii="Arial" w:hAnsi="Arial" w:eastAsia="Times New Roman" w:cs="Arial"/>
      <w:b/>
      <w:sz w:val="24"/>
      <w:szCs w:val="20"/>
      <w:lang w:eastAsia="ru-RU"/>
    </w:rPr>
  </w:style>
  <w:style w:type="paragraph" w:styleId="896" w:customStyle="1">
    <w:name w:val="ConsPlusCell1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97" w:customStyle="1">
    <w:name w:val="ConsPlusDocList1"/>
    <w:pPr>
      <w:spacing w:after="0" w:line="240" w:lineRule="auto"/>
      <w:widowControl w:val="off"/>
    </w:pPr>
    <w:rPr>
      <w:rFonts w:ascii="Tahoma" w:hAnsi="Tahoma" w:eastAsia="Times New Roman" w:cs="Tahoma"/>
      <w:sz w:val="18"/>
      <w:szCs w:val="20"/>
      <w:lang w:eastAsia="ru-RU"/>
    </w:rPr>
  </w:style>
  <w:style w:type="paragraph" w:styleId="898" w:customStyle="1">
    <w:name w:val="ConsPlusTitlePage1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paragraph" w:styleId="899" w:customStyle="1">
    <w:name w:val="ConsPlusJurTerm1"/>
    <w:pPr>
      <w:spacing w:after="0" w:line="240" w:lineRule="auto"/>
      <w:widowControl w:val="off"/>
    </w:pPr>
    <w:rPr>
      <w:rFonts w:ascii="Tahoma" w:hAnsi="Tahoma" w:eastAsia="Times New Roman" w:cs="Tahoma"/>
      <w:sz w:val="26"/>
      <w:szCs w:val="20"/>
      <w:lang w:eastAsia="ru-RU"/>
    </w:rPr>
  </w:style>
  <w:style w:type="paragraph" w:styleId="900" w:customStyle="1">
    <w:name w:val="ConsPlusTextList2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01" w:customStyle="1">
    <w:name w:val="ConsPlusTextList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02">
    <w:name w:val="Hyperlink"/>
    <w:basedOn w:val="694"/>
    <w:uiPriority w:val="99"/>
    <w:semiHidden/>
    <w:unhideWhenUsed/>
    <w:rPr>
      <w:color w:val="0563c1" w:themeColor="hyperlink"/>
      <w:u w:val="single"/>
    </w:rPr>
  </w:style>
  <w:style w:type="paragraph" w:styleId="903">
    <w:name w:val="Balloon Text"/>
    <w:basedOn w:val="684"/>
    <w:link w:val="90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4" w:customStyle="1">
    <w:name w:val="Текст выноски Знак"/>
    <w:basedOn w:val="694"/>
    <w:link w:val="903"/>
    <w:uiPriority w:val="99"/>
    <w:semiHidden/>
    <w:rPr>
      <w:rFonts w:ascii="Segoe UI" w:hAnsi="Segoe UI" w:cs="Segoe UI"/>
      <w:sz w:val="18"/>
      <w:szCs w:val="18"/>
    </w:rPr>
  </w:style>
  <w:style w:type="paragraph" w:styleId="905">
    <w:name w:val="Normal (Web)"/>
    <w:basedOn w:val="68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nikiforova</cp:lastModifiedBy>
  <cp:revision>72</cp:revision>
  <dcterms:created xsi:type="dcterms:W3CDTF">2026-03-23T11:57:00Z</dcterms:created>
  <dcterms:modified xsi:type="dcterms:W3CDTF">2026-05-28T06:20:28Z</dcterms:modified>
</cp:coreProperties>
</file>